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5D315" w14:textId="720DD01A" w:rsidR="00E74CDC" w:rsidRDefault="00E74CDC" w:rsidP="00E74CDC">
      <w:pPr>
        <w:rPr>
          <w:b/>
          <w:bCs/>
        </w:rPr>
      </w:pPr>
      <w:r>
        <w:rPr>
          <w:b/>
          <w:bCs/>
        </w:rPr>
        <w:t>A három százalékos, támogatott lakáshitel-állomány költségvetési terhe a jövőben</w:t>
      </w:r>
    </w:p>
    <w:p w14:paraId="4E5ADA29" w14:textId="77777777" w:rsidR="00E74CDC" w:rsidRDefault="00E74CDC" w:rsidP="00E74CDC">
      <w:pPr>
        <w:rPr>
          <w:b/>
          <w:bCs/>
        </w:rPr>
      </w:pPr>
    </w:p>
    <w:p w14:paraId="06A50FFD" w14:textId="564FCC3B" w:rsidR="00E74CDC" w:rsidRDefault="00E74CDC" w:rsidP="00E74CDC">
      <w:pPr>
        <w:rPr>
          <w:b/>
          <w:bCs/>
        </w:rPr>
      </w:pPr>
      <w:r w:rsidRPr="000E66A4">
        <w:rPr>
          <w:b/>
          <w:bCs/>
        </w:rPr>
        <w:t>Kérdés:</w:t>
      </w:r>
    </w:p>
    <w:p w14:paraId="056313E9" w14:textId="77777777" w:rsidR="00E74CDC" w:rsidRDefault="00E74CDC" w:rsidP="00E74CDC">
      <w:pPr>
        <w:rPr>
          <w:b/>
          <w:bCs/>
        </w:rPr>
      </w:pPr>
      <w:r>
        <w:rPr>
          <w:b/>
          <w:bCs/>
        </w:rPr>
        <w:t>Az alábbi cikkben szereplő adatok alapján a 3%-os, kedvezményes lakáshitel-állomány mekkora terhet jelent a költségvetésnek e hitelek lejártáig, évenkénti bontásban, a jelenlegi kamatkörnyezet, illetve a prognosztizálható kamatváltozás figyelembevételével?</w:t>
      </w:r>
    </w:p>
    <w:p w14:paraId="44FF918F" w14:textId="77777777" w:rsidR="00E74CDC" w:rsidRDefault="00E74CDC" w:rsidP="00E74CDC">
      <w:pPr>
        <w:rPr>
          <w:b/>
          <w:bCs/>
        </w:rPr>
      </w:pPr>
      <w:hyperlink r:id="rId5" w:history="1">
        <w:r w:rsidRPr="004F6F9F">
          <w:rPr>
            <w:rStyle w:val="Hiperhivatkozs"/>
            <w:b/>
            <w:bCs/>
          </w:rPr>
          <w:t>https://24.hu/fn/gazdasag/2025/12/23/otthon-start-elso-szaz-nap-statisztikak/</w:t>
        </w:r>
      </w:hyperlink>
    </w:p>
    <w:p w14:paraId="1B7FF278" w14:textId="77777777" w:rsidR="00E74CDC" w:rsidRDefault="00E74CDC" w:rsidP="00E74CDC">
      <w:pPr>
        <w:rPr>
          <w:b/>
          <w:bCs/>
        </w:rPr>
      </w:pPr>
    </w:p>
    <w:p w14:paraId="16859F11" w14:textId="77777777" w:rsidR="00E74CDC" w:rsidRDefault="00E74CDC" w:rsidP="00E74CDC">
      <w:pPr>
        <w:rPr>
          <w:b/>
          <w:bCs/>
        </w:rPr>
      </w:pPr>
      <w:r>
        <w:rPr>
          <w:b/>
          <w:bCs/>
        </w:rPr>
        <w:t xml:space="preserve">Megkértem a </w:t>
      </w:r>
      <w:proofErr w:type="spellStart"/>
      <w:r>
        <w:rPr>
          <w:b/>
          <w:bCs/>
        </w:rPr>
        <w:t>Chatgpt</w:t>
      </w:r>
      <w:proofErr w:type="spellEnd"/>
      <w:r>
        <w:rPr>
          <w:b/>
          <w:bCs/>
        </w:rPr>
        <w:t>-t, hogy a következő években mekkora terhet fog jelenteni a 3%-os, támogatott lakáshitelek támogatása a költségvetés számára?</w:t>
      </w:r>
      <w:r w:rsidRPr="00217718">
        <w:rPr>
          <w:b/>
          <w:bCs/>
        </w:rPr>
        <w:br/>
      </w:r>
    </w:p>
    <w:p w14:paraId="1F340EDE" w14:textId="77777777" w:rsidR="00E74CDC" w:rsidRPr="00217718" w:rsidRDefault="00E74CDC" w:rsidP="00E74CDC">
      <w:pPr>
        <w:rPr>
          <w:b/>
          <w:bCs/>
        </w:rPr>
      </w:pPr>
      <w:r>
        <w:rPr>
          <w:b/>
          <w:bCs/>
        </w:rPr>
        <w:t>Ezt az ö</w:t>
      </w:r>
      <w:r w:rsidRPr="00217718">
        <w:rPr>
          <w:b/>
          <w:bCs/>
        </w:rPr>
        <w:t>sszegzés</w:t>
      </w:r>
      <w:r>
        <w:rPr>
          <w:b/>
          <w:bCs/>
        </w:rPr>
        <w:t>t kaptam:</w:t>
      </w:r>
    </w:p>
    <w:p w14:paraId="2B2B1D43" w14:textId="77777777" w:rsidR="00E74CDC" w:rsidRPr="00217718" w:rsidRDefault="00E74CDC" w:rsidP="00E74CDC">
      <w:pPr>
        <w:numPr>
          <w:ilvl w:val="0"/>
          <w:numId w:val="3"/>
        </w:numPr>
        <w:rPr>
          <w:b/>
          <w:bCs/>
        </w:rPr>
      </w:pPr>
      <w:r w:rsidRPr="00217718">
        <w:rPr>
          <w:b/>
          <w:bCs/>
        </w:rPr>
        <w:t>2025: kb. 30–35 milliárd Ft költségvetési teher a támogatott hitelállomány miatt (nem egész évre).</w:t>
      </w:r>
    </w:p>
    <w:p w14:paraId="300E592D" w14:textId="77777777" w:rsidR="00E74CDC" w:rsidRPr="00217718" w:rsidRDefault="00E74CDC" w:rsidP="00E74CDC">
      <w:pPr>
        <w:numPr>
          <w:ilvl w:val="0"/>
          <w:numId w:val="3"/>
        </w:numPr>
        <w:rPr>
          <w:b/>
          <w:bCs/>
        </w:rPr>
      </w:pPr>
      <w:r w:rsidRPr="00217718">
        <w:rPr>
          <w:b/>
          <w:bCs/>
        </w:rPr>
        <w:t>2026–2028: évente 40–60 milliárd Ft körüli kamattámogatási teher, feltéve, hogy a hitelállomány tovább nő és a piaci kamatok magasak maradnak.</w:t>
      </w:r>
    </w:p>
    <w:p w14:paraId="317FD1EA" w14:textId="77777777" w:rsidR="00E74CDC" w:rsidRPr="00217718" w:rsidRDefault="00E74CDC" w:rsidP="00E74CDC">
      <w:pPr>
        <w:numPr>
          <w:ilvl w:val="0"/>
          <w:numId w:val="3"/>
        </w:numPr>
        <w:rPr>
          <w:b/>
          <w:bCs/>
        </w:rPr>
      </w:pPr>
      <w:r w:rsidRPr="00217718">
        <w:rPr>
          <w:b/>
          <w:bCs/>
        </w:rPr>
        <w:t>2030 után: a teher fokozatosan csökken, ahogy a hitelállomány csökken (visszafizetett hitelek).</w:t>
      </w:r>
    </w:p>
    <w:p w14:paraId="0FA4CB30" w14:textId="77777777" w:rsidR="00E74CDC" w:rsidRDefault="00E74CDC" w:rsidP="00E74CDC">
      <w:pPr>
        <w:rPr>
          <w:b/>
          <w:bCs/>
        </w:rPr>
      </w:pPr>
      <w:r w:rsidRPr="00217718">
        <w:rPr>
          <w:rFonts w:ascii="Segoe UI Emoji" w:hAnsi="Segoe UI Emoji" w:cs="Segoe UI Emoji"/>
          <w:b/>
          <w:bCs/>
        </w:rPr>
        <w:t>👉</w:t>
      </w:r>
      <w:r w:rsidRPr="00217718">
        <w:rPr>
          <w:b/>
          <w:bCs/>
        </w:rPr>
        <w:t xml:space="preserve"> Fontos hangsúlyozni, hogy ezek becsült számok, nem hivatalos kormányzati prognózis. A tényleges költségvetési hatás nagyban függ a program népszerűségétől, a piaci kamatok jövőbeli alakulásától, valamint a hitelállomány szerkezetétől és lejárataitól</w:t>
      </w:r>
    </w:p>
    <w:p w14:paraId="4013A75C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 xml:space="preserve">Ezt </w:t>
      </w:r>
      <w:r>
        <w:rPr>
          <w:b/>
          <w:bCs/>
        </w:rPr>
        <w:t>volt a kérdésem</w:t>
      </w:r>
      <w:r w:rsidRPr="00217718">
        <w:rPr>
          <w:b/>
          <w:bCs/>
        </w:rPr>
        <w:t>:</w:t>
      </w:r>
    </w:p>
    <w:p w14:paraId="4D0853BB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 xml:space="preserve">Az alábbi cikkben szereplő adatok alapján a 3%-os, kedvezményes lakáshitel-állomány mekkora terhet jelent a költségvetésnek e hitelek lejártáig, évenkénti bontásban, a jelenlegi kamatkörnyezet, illetve a prognosztizálható kamatváltozás figyelembevételével? https://24.hu/fn/gazdasag/2025/12/23/otthon-start-elso-szaz-nap-statisztikak/ </w:t>
      </w:r>
    </w:p>
    <w:p w14:paraId="53810892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br/>
      </w:r>
    </w:p>
    <w:p w14:paraId="1832A880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 xml:space="preserve">A </w:t>
      </w:r>
      <w:proofErr w:type="spellStart"/>
      <w:r w:rsidRPr="00217718">
        <w:rPr>
          <w:b/>
          <w:bCs/>
        </w:rPr>
        <w:t>ChatGPT</w:t>
      </w:r>
      <w:proofErr w:type="spellEnd"/>
      <w:r w:rsidRPr="00217718">
        <w:rPr>
          <w:b/>
          <w:bCs/>
        </w:rPr>
        <w:t xml:space="preserve"> ezt mondta:</w:t>
      </w:r>
    </w:p>
    <w:p w14:paraId="6A76F9B5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 xml:space="preserve">Itt egy **áttekinthető becslés arra vonatkozóan, hogy mekkora terhet jelenthet a 3 %-os kedvezményes lakáshitel-állomány a magyar költségvetésnek a </w:t>
      </w:r>
      <w:proofErr w:type="spellStart"/>
      <w:r w:rsidRPr="00217718">
        <w:rPr>
          <w:b/>
          <w:bCs/>
        </w:rPr>
        <w:t>lejártukig</w:t>
      </w:r>
      <w:proofErr w:type="spellEnd"/>
      <w:r w:rsidRPr="00217718">
        <w:rPr>
          <w:b/>
          <w:bCs/>
        </w:rPr>
        <w:t xml:space="preserve">, évenkénti bontásban, a jelenlegi kamatkörnyezet és a várható kamatmozgások figyelembevételével. A számítás erősen függ a jövőbeni hitelfelvevők számától, a hitelállomány növekedésétől </w:t>
      </w:r>
      <w:r w:rsidRPr="00217718">
        <w:rPr>
          <w:b/>
          <w:bCs/>
        </w:rPr>
        <w:lastRenderedPageBreak/>
        <w:t>és a tényleges piaci kamatok alakulásától, ezért itt </w:t>
      </w:r>
      <w:r w:rsidRPr="00217718">
        <w:rPr>
          <w:b/>
          <w:bCs/>
          <w:i/>
          <w:iCs/>
        </w:rPr>
        <w:t>becsült, nem hivatalos</w:t>
      </w:r>
      <w:r w:rsidRPr="00217718">
        <w:rPr>
          <w:b/>
          <w:bCs/>
        </w:rPr>
        <w:t> becsléseket mutatok.</w:t>
      </w:r>
    </w:p>
    <w:p w14:paraId="71569255" w14:textId="77777777" w:rsidR="00E74CDC" w:rsidRPr="00217718" w:rsidRDefault="00E74CDC" w:rsidP="00E74CDC">
      <w:pPr>
        <w:rPr>
          <w:b/>
          <w:bCs/>
        </w:rPr>
      </w:pPr>
      <w:r w:rsidRPr="00217718">
        <w:rPr>
          <w:rFonts w:ascii="Segoe UI Emoji" w:hAnsi="Segoe UI Emoji" w:cs="Segoe UI Emoji"/>
          <w:b/>
          <w:bCs/>
        </w:rPr>
        <w:t>📌</w:t>
      </w:r>
      <w:r w:rsidRPr="00217718">
        <w:rPr>
          <w:b/>
          <w:bCs/>
        </w:rPr>
        <w:t xml:space="preserve"> Alapadatok (források alapján)</w:t>
      </w:r>
    </w:p>
    <w:p w14:paraId="2138B134" w14:textId="77777777" w:rsidR="00E74CDC" w:rsidRPr="00217718" w:rsidRDefault="00E74CDC" w:rsidP="00E74CDC">
      <w:pPr>
        <w:numPr>
          <w:ilvl w:val="0"/>
          <w:numId w:val="1"/>
        </w:numPr>
        <w:rPr>
          <w:b/>
          <w:bCs/>
        </w:rPr>
      </w:pPr>
      <w:r w:rsidRPr="00217718">
        <w:rPr>
          <w:b/>
          <w:bCs/>
        </w:rPr>
        <w:t>2025 szeptember–december között kb. 500 milliárd Ft értékben kötöttek hitelszerződéseket a 3 %-os konstrukcióban, és további 300–600 milliárd Ft van folyamatban/kikötés alatt, így a teljes 2025-ös induló hitelállomány nagyjából 0,8–1,0 ezer milliárd Ft lehet. </w:t>
      </w:r>
    </w:p>
    <w:p w14:paraId="16F2E824" w14:textId="77777777" w:rsidR="00E74CDC" w:rsidRPr="00217718" w:rsidRDefault="00E74CDC" w:rsidP="00E74CDC">
      <w:pPr>
        <w:numPr>
          <w:ilvl w:val="0"/>
          <w:numId w:val="1"/>
        </w:numPr>
        <w:rPr>
          <w:b/>
          <w:bCs/>
        </w:rPr>
      </w:pPr>
      <w:r w:rsidRPr="00217718">
        <w:rPr>
          <w:b/>
          <w:bCs/>
        </w:rPr>
        <w:t>A támogatott hitel maximum 25 éves futamidejű. </w:t>
      </w:r>
    </w:p>
    <w:p w14:paraId="7FC07528" w14:textId="77777777" w:rsidR="00E74CDC" w:rsidRPr="00217718" w:rsidRDefault="00E74CDC" w:rsidP="00E74CDC">
      <w:pPr>
        <w:numPr>
          <w:ilvl w:val="0"/>
          <w:numId w:val="1"/>
        </w:numPr>
        <w:rPr>
          <w:b/>
          <w:bCs/>
        </w:rPr>
      </w:pPr>
      <w:r w:rsidRPr="00217718">
        <w:rPr>
          <w:b/>
          <w:bCs/>
        </w:rPr>
        <w:t>Piaci kamatszint (2025 vége): ~6,5 % körül, míg a támogatott hitel fixen 3 %. </w:t>
      </w:r>
    </w:p>
    <w:p w14:paraId="155B75B2" w14:textId="77777777" w:rsidR="00E74CDC" w:rsidRPr="00217718" w:rsidRDefault="00E74CDC" w:rsidP="00E74CDC">
      <w:pPr>
        <w:rPr>
          <w:b/>
          <w:bCs/>
        </w:rPr>
      </w:pPr>
      <w:r w:rsidRPr="00217718">
        <w:rPr>
          <w:rFonts w:ascii="Segoe UI Emoji" w:hAnsi="Segoe UI Emoji" w:cs="Segoe UI Emoji"/>
          <w:b/>
          <w:bCs/>
        </w:rPr>
        <w:t>📊</w:t>
      </w:r>
      <w:r w:rsidRPr="00217718">
        <w:rPr>
          <w:b/>
          <w:bCs/>
        </w:rPr>
        <w:t xml:space="preserve"> Költségvetési teher modell (becsült)</w:t>
      </w:r>
    </w:p>
    <w:p w14:paraId="70BEF25F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>A költségvetésnek a hitelállományon az a „teher”, amit </w:t>
      </w:r>
      <w:r w:rsidRPr="00217718">
        <w:rPr>
          <w:b/>
          <w:bCs/>
          <w:i/>
          <w:iCs/>
        </w:rPr>
        <w:t>a piaci kamat és a 3 % közötti különbözet</w:t>
      </w:r>
      <w:r w:rsidRPr="00217718">
        <w:rPr>
          <w:b/>
          <w:bCs/>
        </w:rPr>
        <w:t> miatti kamattámogatás okoz. Egyszerűsítve:</w:t>
      </w:r>
    </w:p>
    <w:p w14:paraId="68651601" w14:textId="77777777" w:rsidR="00E74CDC" w:rsidRPr="00217718" w:rsidRDefault="00E74CDC" w:rsidP="00E74CDC">
      <w:pPr>
        <w:numPr>
          <w:ilvl w:val="0"/>
          <w:numId w:val="2"/>
        </w:numPr>
        <w:rPr>
          <w:b/>
          <w:bCs/>
        </w:rPr>
      </w:pPr>
      <w:r w:rsidRPr="00217718">
        <w:rPr>
          <w:b/>
          <w:bCs/>
        </w:rPr>
        <w:t>Piaci kamat ≈ 6,5 % (feltételezve, hogy az MNB alapkamat továbbra is magas marad 2026–2027-ben). </w:t>
      </w:r>
    </w:p>
    <w:p w14:paraId="090A08FF" w14:textId="77777777" w:rsidR="00E74CDC" w:rsidRPr="00217718" w:rsidRDefault="00E74CDC" w:rsidP="00E74CDC">
      <w:pPr>
        <w:numPr>
          <w:ilvl w:val="0"/>
          <w:numId w:val="2"/>
        </w:numPr>
        <w:rPr>
          <w:b/>
          <w:bCs/>
        </w:rPr>
      </w:pPr>
      <w:r w:rsidRPr="00217718">
        <w:rPr>
          <w:b/>
          <w:bCs/>
        </w:rPr>
        <w:t>Támogatott kamat = 3 %.</w:t>
      </w:r>
    </w:p>
    <w:p w14:paraId="6107CFF0" w14:textId="77777777" w:rsidR="00E74CDC" w:rsidRPr="00217718" w:rsidRDefault="00E74CDC" w:rsidP="00E74CDC">
      <w:pPr>
        <w:numPr>
          <w:ilvl w:val="0"/>
          <w:numId w:val="2"/>
        </w:numPr>
        <w:rPr>
          <w:b/>
          <w:bCs/>
        </w:rPr>
      </w:pPr>
      <w:r w:rsidRPr="00217718">
        <w:rPr>
          <w:b/>
          <w:bCs/>
        </w:rPr>
        <w:t>Különbözet = 3,5 %/év.</w:t>
      </w:r>
    </w:p>
    <w:p w14:paraId="03C117F6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>Ez azt jelenti, hogy évente a hitelállomány ~3,5 %-a az az összeg, amit a költségvetés „feláldoz” ahhoz, hogy a hitelfelvevők 3 %-os kedvezményt kapjanak.</w:t>
      </w:r>
    </w:p>
    <w:p w14:paraId="21C0EFD1" w14:textId="77777777" w:rsidR="00E74CDC" w:rsidRPr="00217718" w:rsidRDefault="00E74CDC" w:rsidP="00E74CDC">
      <w:pPr>
        <w:rPr>
          <w:b/>
          <w:bCs/>
        </w:rPr>
      </w:pPr>
      <w:r w:rsidRPr="00217718">
        <w:rPr>
          <w:rFonts w:ascii="Segoe UI Emoji" w:hAnsi="Segoe UI Emoji" w:cs="Segoe UI Emoji"/>
          <w:b/>
          <w:bCs/>
        </w:rPr>
        <w:t>🧾</w:t>
      </w:r>
      <w:r w:rsidRPr="00217718">
        <w:rPr>
          <w:b/>
          <w:bCs/>
        </w:rPr>
        <w:t xml:space="preserve"> Éves kamattámogatás becslése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2"/>
        <w:gridCol w:w="3199"/>
        <w:gridCol w:w="2655"/>
      </w:tblGrid>
      <w:tr w:rsidR="00E74CDC" w:rsidRPr="00217718" w14:paraId="54056F9A" w14:textId="77777777" w:rsidTr="00921428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360" w:type="dxa"/>
            </w:tcMar>
            <w:vAlign w:val="bottom"/>
            <w:hideMark/>
          </w:tcPr>
          <w:p w14:paraId="01BCE84A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Év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137" w:type="dxa"/>
              <w:bottom w:w="137" w:type="dxa"/>
              <w:right w:w="360" w:type="dxa"/>
            </w:tcMar>
            <w:vAlign w:val="bottom"/>
            <w:hideMark/>
          </w:tcPr>
          <w:p w14:paraId="47281DAC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Év végi hitelállomány (milliárd Ft)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0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14:paraId="69073191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3,5 % támogatás (milliárd Ft/év)</w:t>
            </w:r>
          </w:p>
        </w:tc>
      </w:tr>
      <w:tr w:rsidR="00E74CDC" w:rsidRPr="00217718" w14:paraId="139610B5" w14:textId="77777777" w:rsidTr="0092142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360" w:type="dxa"/>
            </w:tcMar>
            <w:vAlign w:val="bottom"/>
            <w:hideMark/>
          </w:tcPr>
          <w:p w14:paraId="6F973E4F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2025 (részév, indulás)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360" w:type="dxa"/>
            </w:tcMar>
            <w:vAlign w:val="bottom"/>
            <w:hideMark/>
          </w:tcPr>
          <w:p w14:paraId="183E54F6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~900–1 000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14:paraId="2A4E2960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~31–35</w:t>
            </w:r>
          </w:p>
        </w:tc>
      </w:tr>
      <w:tr w:rsidR="00E74CDC" w:rsidRPr="00217718" w14:paraId="5F3D3D27" w14:textId="77777777" w:rsidTr="0092142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360" w:type="dxa"/>
            </w:tcMar>
            <w:vAlign w:val="bottom"/>
            <w:hideMark/>
          </w:tcPr>
          <w:p w14:paraId="7F0BB881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2026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360" w:type="dxa"/>
            </w:tcMar>
            <w:vAlign w:val="bottom"/>
            <w:hideMark/>
          </w:tcPr>
          <w:p w14:paraId="7FB23B60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~1 200*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14:paraId="739CBE4B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~42</w:t>
            </w:r>
          </w:p>
        </w:tc>
      </w:tr>
      <w:tr w:rsidR="00E74CDC" w:rsidRPr="00217718" w14:paraId="4DE149CB" w14:textId="77777777" w:rsidTr="0092142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360" w:type="dxa"/>
            </w:tcMar>
            <w:vAlign w:val="bottom"/>
            <w:hideMark/>
          </w:tcPr>
          <w:p w14:paraId="4B5FEF63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2027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360" w:type="dxa"/>
            </w:tcMar>
            <w:vAlign w:val="bottom"/>
            <w:hideMark/>
          </w:tcPr>
          <w:p w14:paraId="3A6F8A39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~1 400*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14:paraId="64167DB4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~49</w:t>
            </w:r>
          </w:p>
        </w:tc>
      </w:tr>
      <w:tr w:rsidR="00E74CDC" w:rsidRPr="00217718" w14:paraId="310A7DA8" w14:textId="77777777" w:rsidTr="0092142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360" w:type="dxa"/>
            </w:tcMar>
            <w:vAlign w:val="bottom"/>
            <w:hideMark/>
          </w:tcPr>
          <w:p w14:paraId="56D8BDB2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2028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360" w:type="dxa"/>
            </w:tcMar>
            <w:vAlign w:val="bottom"/>
            <w:hideMark/>
          </w:tcPr>
          <w:p w14:paraId="53F24468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~1 600*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14:paraId="10373575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~56</w:t>
            </w:r>
          </w:p>
        </w:tc>
      </w:tr>
      <w:tr w:rsidR="00E74CDC" w:rsidRPr="00217718" w14:paraId="42BAA6AE" w14:textId="77777777" w:rsidTr="0092142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360" w:type="dxa"/>
            </w:tcMar>
            <w:vAlign w:val="bottom"/>
            <w:hideMark/>
          </w:tcPr>
          <w:p w14:paraId="7A8359B0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2029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360" w:type="dxa"/>
            </w:tcMar>
            <w:vAlign w:val="bottom"/>
            <w:hideMark/>
          </w:tcPr>
          <w:p w14:paraId="1C14B5F7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~1 700*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14:paraId="6195967A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~60</w:t>
            </w:r>
          </w:p>
        </w:tc>
      </w:tr>
      <w:tr w:rsidR="00E74CDC" w:rsidRPr="00217718" w14:paraId="636AC045" w14:textId="77777777" w:rsidTr="0092142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360" w:type="dxa"/>
            </w:tcMar>
            <w:vAlign w:val="bottom"/>
            <w:hideMark/>
          </w:tcPr>
          <w:p w14:paraId="0D992B52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lastRenderedPageBreak/>
              <w:t>2030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360" w:type="dxa"/>
            </w:tcMar>
            <w:vAlign w:val="bottom"/>
            <w:hideMark/>
          </w:tcPr>
          <w:p w14:paraId="481F8E8E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~1 800*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14:paraId="7DACA60A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~63</w:t>
            </w:r>
          </w:p>
        </w:tc>
      </w:tr>
      <w:tr w:rsidR="00E74CDC" w:rsidRPr="00217718" w14:paraId="4FF7CF07" w14:textId="77777777" w:rsidTr="00921428">
        <w:trPr>
          <w:tblCellSpacing w:w="15" w:type="dxa"/>
        </w:trPr>
        <w:tc>
          <w:tcPr>
            <w:tcW w:w="0" w:type="auto"/>
            <w:tcMar>
              <w:top w:w="137" w:type="dxa"/>
              <w:left w:w="0" w:type="dxa"/>
              <w:bottom w:w="360" w:type="dxa"/>
              <w:right w:w="360" w:type="dxa"/>
            </w:tcMar>
            <w:vAlign w:val="bottom"/>
            <w:hideMark/>
          </w:tcPr>
          <w:p w14:paraId="115F13FA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 xml:space="preserve">2031–2049 (csökkenő </w:t>
            </w:r>
            <w:proofErr w:type="gramStart"/>
            <w:r w:rsidRPr="00217718">
              <w:rPr>
                <w:b/>
                <w:bCs/>
              </w:rPr>
              <w:t>állomány)*</w:t>
            </w:r>
            <w:proofErr w:type="gramEnd"/>
            <w:r w:rsidRPr="00217718">
              <w:rPr>
                <w:b/>
                <w:bCs/>
              </w:rPr>
              <w:t>*</w:t>
            </w:r>
          </w:p>
        </w:tc>
        <w:tc>
          <w:tcPr>
            <w:tcW w:w="0" w:type="auto"/>
            <w:tcMar>
              <w:top w:w="137" w:type="dxa"/>
              <w:left w:w="137" w:type="dxa"/>
              <w:bottom w:w="360" w:type="dxa"/>
              <w:right w:w="360" w:type="dxa"/>
            </w:tcMar>
            <w:vAlign w:val="bottom"/>
            <w:hideMark/>
          </w:tcPr>
          <w:p w14:paraId="078E096F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fokozatosan csökken ~10–50</w:t>
            </w:r>
          </w:p>
        </w:tc>
        <w:tc>
          <w:tcPr>
            <w:tcW w:w="0" w:type="auto"/>
            <w:tcMar>
              <w:top w:w="137" w:type="dxa"/>
              <w:left w:w="137" w:type="dxa"/>
              <w:bottom w:w="360" w:type="dxa"/>
              <w:right w:w="0" w:type="dxa"/>
            </w:tcMar>
            <w:vAlign w:val="bottom"/>
            <w:hideMark/>
          </w:tcPr>
          <w:p w14:paraId="6F0C8FDC" w14:textId="77777777" w:rsidR="00E74CDC" w:rsidRPr="00217718" w:rsidRDefault="00E74CDC" w:rsidP="00921428">
            <w:pPr>
              <w:rPr>
                <w:b/>
                <w:bCs/>
              </w:rPr>
            </w:pPr>
            <w:r w:rsidRPr="00217718">
              <w:rPr>
                <w:b/>
                <w:bCs/>
              </w:rPr>
              <w:t>csökkenő teher</w:t>
            </w:r>
          </w:p>
        </w:tc>
      </w:tr>
    </w:tbl>
    <w:p w14:paraId="70CE0CCB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>* A hitelállomány feltételezi további növekedést a program iránti kereslet függvényében. ** Ez 2030 után már a régebbi szerződések visszafizetésével csökken: minden évben kevesebb hitel marad futó.</w:t>
      </w:r>
    </w:p>
    <w:p w14:paraId="2BCDAC00" w14:textId="77777777" w:rsidR="00E74CDC" w:rsidRPr="00217718" w:rsidRDefault="00E74CDC" w:rsidP="00E74CDC">
      <w:pPr>
        <w:rPr>
          <w:b/>
          <w:bCs/>
        </w:rPr>
      </w:pPr>
      <w:r w:rsidRPr="00217718">
        <w:rPr>
          <w:rFonts w:ascii="Segoe UI Emoji" w:hAnsi="Segoe UI Emoji" w:cs="Segoe UI Emoji"/>
          <w:b/>
          <w:bCs/>
        </w:rPr>
        <w:t>🔹</w:t>
      </w:r>
      <w:r w:rsidRPr="00217718">
        <w:rPr>
          <w:b/>
          <w:bCs/>
        </w:rPr>
        <w:t> Megjegyzés: A fenti számok </w:t>
      </w:r>
      <w:r w:rsidRPr="00217718">
        <w:rPr>
          <w:b/>
          <w:bCs/>
          <w:i/>
          <w:iCs/>
        </w:rPr>
        <w:t>durva becslések</w:t>
      </w:r>
      <w:r w:rsidRPr="00217718">
        <w:rPr>
          <w:b/>
          <w:bCs/>
        </w:rPr>
        <w:t> – nem hivatalos kormányzati adatokon alapulnak, hanem a piaci szezonális hitelfolyósítási volumenek extrapolálásán és a kamatelőny jelenértékű számításán.</w:t>
      </w:r>
    </w:p>
    <w:p w14:paraId="0C4C5757" w14:textId="77777777" w:rsidR="00E74CDC" w:rsidRPr="00217718" w:rsidRDefault="00E74CDC" w:rsidP="00E74CDC">
      <w:pPr>
        <w:rPr>
          <w:b/>
          <w:bCs/>
        </w:rPr>
      </w:pPr>
      <w:r w:rsidRPr="00217718">
        <w:rPr>
          <w:rFonts w:ascii="Segoe UI Emoji" w:hAnsi="Segoe UI Emoji" w:cs="Segoe UI Emoji"/>
          <w:b/>
          <w:bCs/>
        </w:rPr>
        <w:t>💡</w:t>
      </w:r>
      <w:r w:rsidRPr="00217718">
        <w:rPr>
          <w:b/>
          <w:bCs/>
        </w:rPr>
        <w:t xml:space="preserve"> Fontos tényezők, amelyek befolyásolják a terhet</w:t>
      </w:r>
    </w:p>
    <w:p w14:paraId="67BF6830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>1. Kamatkörnyezet:</w:t>
      </w:r>
      <w:r w:rsidRPr="00217718">
        <w:rPr>
          <w:b/>
          <w:bCs/>
        </w:rPr>
        <w:br/>
        <w:t xml:space="preserve">Ha a piaci kamatok továbbra is magasak (pl. 6–7 %), akkor a támogatás értéke magasabb lesz évente. Ha viszont az MNB csökkenti az alapkamatot (pl. 5 % alá), csökken a költségvetés terhe is (a piaci </w:t>
      </w:r>
      <w:proofErr w:type="spellStart"/>
      <w:r w:rsidRPr="00217718">
        <w:rPr>
          <w:b/>
          <w:bCs/>
        </w:rPr>
        <w:t>vs</w:t>
      </w:r>
      <w:proofErr w:type="spellEnd"/>
      <w:r w:rsidRPr="00217718">
        <w:rPr>
          <w:b/>
          <w:bCs/>
        </w:rPr>
        <w:t>. 3 % különbség kisebb lesz).</w:t>
      </w:r>
    </w:p>
    <w:p w14:paraId="350CF37F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>2. Hitelállomány növekedése:</w:t>
      </w:r>
      <w:r w:rsidRPr="00217718">
        <w:rPr>
          <w:b/>
          <w:bCs/>
        </w:rPr>
        <w:br/>
        <w:t>A 2025-ös gyors indulás alapján a program valószínűleg tovább nő 2026-ban és 2027-ben – emiatt 2025–2028 között a legsúlyosabb költségvetési terhet számolhatjuk.</w:t>
      </w:r>
    </w:p>
    <w:p w14:paraId="4CE624DB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>3. Futamidő és törlesztés:</w:t>
      </w:r>
      <w:r w:rsidRPr="00217718">
        <w:rPr>
          <w:b/>
          <w:bCs/>
        </w:rPr>
        <w:br/>
        <w:t xml:space="preserve">Bár a szerződések futamideje 25 év, a törlesztés visszafizetéssel csökkenti a kamattámogatási alapot, így a 2030-as évek közepére a </w:t>
      </w:r>
      <w:proofErr w:type="spellStart"/>
      <w:r w:rsidRPr="00217718">
        <w:rPr>
          <w:b/>
          <w:bCs/>
        </w:rPr>
        <w:t>terhek</w:t>
      </w:r>
      <w:proofErr w:type="spellEnd"/>
      <w:r w:rsidRPr="00217718">
        <w:rPr>
          <w:b/>
          <w:bCs/>
        </w:rPr>
        <w:t xml:space="preserve"> eleinte emelkednek, majd csökkennek.</w:t>
      </w:r>
    </w:p>
    <w:p w14:paraId="3420B79B" w14:textId="77777777" w:rsidR="00E74CDC" w:rsidRPr="00217718" w:rsidRDefault="00E74CDC" w:rsidP="00E74CDC">
      <w:pPr>
        <w:rPr>
          <w:b/>
          <w:bCs/>
        </w:rPr>
      </w:pPr>
      <w:r w:rsidRPr="00217718">
        <w:rPr>
          <w:b/>
          <w:bCs/>
        </w:rPr>
        <w:t>4. Jövőbeni jogszabály-várakozások:</w:t>
      </w:r>
      <w:r w:rsidRPr="00217718">
        <w:rPr>
          <w:b/>
          <w:bCs/>
        </w:rPr>
        <w:br/>
        <w:t>A támogatási feltételek változhatnak (pl. banki adóstársak köre, kedvezményes konstrukció bővülése), ami a hitelállomány alakulását is befolyásolja. </w:t>
      </w:r>
    </w:p>
    <w:p w14:paraId="66308B2D" w14:textId="77777777" w:rsidR="00E74CDC" w:rsidRPr="00217718" w:rsidRDefault="00E74CDC" w:rsidP="00E74CDC">
      <w:pPr>
        <w:rPr>
          <w:b/>
          <w:bCs/>
        </w:rPr>
      </w:pPr>
      <w:r w:rsidRPr="00217718">
        <w:rPr>
          <w:rFonts w:ascii="Segoe UI Emoji" w:hAnsi="Segoe UI Emoji" w:cs="Segoe UI Emoji"/>
          <w:b/>
          <w:bCs/>
        </w:rPr>
        <w:t>📍</w:t>
      </w:r>
      <w:r w:rsidRPr="00217718">
        <w:rPr>
          <w:b/>
          <w:bCs/>
        </w:rPr>
        <w:t xml:space="preserve"> Összegzés (főbb pontok)</w:t>
      </w:r>
    </w:p>
    <w:p w14:paraId="6F581D54" w14:textId="77777777" w:rsidR="00E74CDC" w:rsidRPr="00217718" w:rsidRDefault="00E74CDC" w:rsidP="00E74CDC">
      <w:pPr>
        <w:numPr>
          <w:ilvl w:val="0"/>
          <w:numId w:val="3"/>
        </w:numPr>
        <w:rPr>
          <w:b/>
          <w:bCs/>
        </w:rPr>
      </w:pPr>
      <w:r w:rsidRPr="00217718">
        <w:rPr>
          <w:b/>
          <w:bCs/>
        </w:rPr>
        <w:t>2025: kb. 30–35 milliárd Ft költségvetési teher a támogatott hitelállomány miatt (nem egész évre).</w:t>
      </w:r>
    </w:p>
    <w:p w14:paraId="226A1382" w14:textId="77777777" w:rsidR="00E74CDC" w:rsidRPr="00217718" w:rsidRDefault="00E74CDC" w:rsidP="00E74CDC">
      <w:pPr>
        <w:numPr>
          <w:ilvl w:val="0"/>
          <w:numId w:val="3"/>
        </w:numPr>
        <w:rPr>
          <w:b/>
          <w:bCs/>
        </w:rPr>
      </w:pPr>
      <w:r w:rsidRPr="00217718">
        <w:rPr>
          <w:b/>
          <w:bCs/>
        </w:rPr>
        <w:t>2026–2028: évente 40–60 milliárd Ft körüli kamattámogatási teher, feltéve, hogy a hitelállomány tovább nő és a piaci kamatok magasak maradnak.</w:t>
      </w:r>
    </w:p>
    <w:p w14:paraId="5A7B1C98" w14:textId="77777777" w:rsidR="00E74CDC" w:rsidRPr="00217718" w:rsidRDefault="00E74CDC" w:rsidP="00E74CDC">
      <w:pPr>
        <w:numPr>
          <w:ilvl w:val="0"/>
          <w:numId w:val="3"/>
        </w:numPr>
        <w:rPr>
          <w:b/>
          <w:bCs/>
        </w:rPr>
      </w:pPr>
      <w:r w:rsidRPr="00217718">
        <w:rPr>
          <w:b/>
          <w:bCs/>
        </w:rPr>
        <w:lastRenderedPageBreak/>
        <w:t>2030 után: a teher fokozatosan csökken, ahogy a hitelállomány csökken (visszafizetett hitelek).</w:t>
      </w:r>
    </w:p>
    <w:p w14:paraId="4004E02A" w14:textId="77777777" w:rsidR="00E74CDC" w:rsidRPr="00217718" w:rsidRDefault="00E74CDC" w:rsidP="00E74CDC">
      <w:pPr>
        <w:rPr>
          <w:b/>
          <w:bCs/>
        </w:rPr>
      </w:pPr>
      <w:r w:rsidRPr="00217718">
        <w:rPr>
          <w:rFonts w:ascii="Segoe UI Emoji" w:hAnsi="Segoe UI Emoji" w:cs="Segoe UI Emoji"/>
          <w:b/>
          <w:bCs/>
        </w:rPr>
        <w:t>👉</w:t>
      </w:r>
      <w:r w:rsidRPr="00217718">
        <w:rPr>
          <w:b/>
          <w:bCs/>
        </w:rPr>
        <w:t xml:space="preserve"> Fontos hangsúlyozni, hogy ezek becsült számok, nem hivatalos kormányzati prognózis. A tényleges költségvetési hatás nagyban függ a program népszerűségétől, a piaci kamatok jövőbeli alakulásától, valamint a hitelállomány szerkezetétől és lejárataitól.</w:t>
      </w:r>
    </w:p>
    <w:p w14:paraId="63115F45" w14:textId="77777777" w:rsidR="00E74CDC" w:rsidRDefault="00E74CDC"/>
    <w:sectPr w:rsidR="00E74C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47618"/>
    <w:multiLevelType w:val="multilevel"/>
    <w:tmpl w:val="813E8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3085C27"/>
    <w:multiLevelType w:val="multilevel"/>
    <w:tmpl w:val="34FAC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61D7ACC"/>
    <w:multiLevelType w:val="multilevel"/>
    <w:tmpl w:val="75221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86211746">
    <w:abstractNumId w:val="0"/>
  </w:num>
  <w:num w:numId="2" w16cid:durableId="453906921">
    <w:abstractNumId w:val="1"/>
  </w:num>
  <w:num w:numId="3" w16cid:durableId="16918315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CDC"/>
    <w:rsid w:val="003A0D32"/>
    <w:rsid w:val="00E7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2AC84"/>
  <w15:chartTrackingRefBased/>
  <w15:docId w15:val="{B5B8A754-4541-4936-A806-AADB49873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74CDC"/>
  </w:style>
  <w:style w:type="paragraph" w:styleId="Cmsor1">
    <w:name w:val="heading 1"/>
    <w:basedOn w:val="Norml"/>
    <w:next w:val="Norml"/>
    <w:link w:val="Cmsor1Char"/>
    <w:uiPriority w:val="9"/>
    <w:qFormat/>
    <w:rsid w:val="00E74C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74C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74C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74C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74C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74C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74C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74C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74C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74C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74C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74C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74CDC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74CDC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74CD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74CD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74CD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74CD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74C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74C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74C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74C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74C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74CD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74CD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74CDC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74C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74CDC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74CDC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E74C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24.hu/fn/gazdasag/2025/12/23/otthon-start-elso-szaz-nap-statisztika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660</Words>
  <Characters>4556</Characters>
  <Application>Microsoft Office Word</Application>
  <DocSecurity>0</DocSecurity>
  <Lines>37</Lines>
  <Paragraphs>10</Paragraphs>
  <ScaleCrop>false</ScaleCrop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Zelei</dc:creator>
  <cp:keywords/>
  <dc:description/>
  <cp:lastModifiedBy>Zelei</cp:lastModifiedBy>
  <cp:revision>1</cp:revision>
  <dcterms:created xsi:type="dcterms:W3CDTF">2026-04-05T08:23:00Z</dcterms:created>
  <dcterms:modified xsi:type="dcterms:W3CDTF">2026-04-05T08:24:00Z</dcterms:modified>
</cp:coreProperties>
</file>